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8F" w:rsidRDefault="00EF278F" w:rsidP="00EF278F">
      <w:pPr>
        <w:pStyle w:val="a3"/>
        <w:shd w:val="clear" w:color="auto" w:fill="FFFFFF"/>
        <w:jc w:val="center"/>
        <w:rPr>
          <w:color w:val="020B22"/>
          <w:sz w:val="28"/>
          <w:szCs w:val="28"/>
        </w:rPr>
      </w:pPr>
      <w:r w:rsidRPr="00EF278F">
        <w:rPr>
          <w:rStyle w:val="a4"/>
          <w:color w:val="020B22"/>
          <w:sz w:val="28"/>
          <w:szCs w:val="28"/>
        </w:rPr>
        <w:t>Территориальное общественное самоуправление</w:t>
      </w:r>
      <w:r w:rsidRPr="00EF278F">
        <w:rPr>
          <w:color w:val="020B22"/>
          <w:sz w:val="28"/>
          <w:szCs w:val="28"/>
        </w:rPr>
        <w:t> (ТОС)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proofErr w:type="gramStart"/>
      <w:r w:rsidRPr="00EF278F">
        <w:rPr>
          <w:color w:val="020B22"/>
          <w:sz w:val="28"/>
          <w:szCs w:val="28"/>
        </w:rPr>
        <w:t>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rStyle w:val="a4"/>
          <w:color w:val="020B22"/>
          <w:sz w:val="28"/>
          <w:szCs w:val="28"/>
        </w:rPr>
        <w:t>Зачем нужен ТОС?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ТОС является эффективным инструментом для улучшения качества жизни людей на территории проживания.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Благодаря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подъезд многоквартирного жилого дома;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многоквартирный жилой дом;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группа жилых домов;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жилой микрорайон;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сельский населенный пункт, не являющийся поселением;</w:t>
      </w:r>
    </w:p>
    <w:p w:rsidR="00EF278F" w:rsidRPr="00EF278F" w:rsidRDefault="00EF278F" w:rsidP="00EF278F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иные территории проживания граждан.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ТОС вправе осуществлять следующую деятельность: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 xml:space="preserve">принимать участие совместно с уполномоченными на это органами в осуществлении </w:t>
      </w:r>
      <w:proofErr w:type="gramStart"/>
      <w:r w:rsidRPr="00EF278F">
        <w:rPr>
          <w:color w:val="020B22"/>
          <w:sz w:val="28"/>
          <w:szCs w:val="28"/>
        </w:rPr>
        <w:t>контроля за</w:t>
      </w:r>
      <w:proofErr w:type="gramEnd"/>
      <w:r w:rsidRPr="00EF278F">
        <w:rPr>
          <w:color w:val="020B22"/>
          <w:sz w:val="28"/>
          <w:szCs w:val="28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вносить предложения об улучшении работы общественного пассажирского транспорта;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lastRenderedPageBreak/>
        <w:t>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направлять в органы местного самоуправления обращения по вопросам, затрагивающим интересы жителей территории;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выступать с инициативой о проведении публичных слушаний;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привлекать на добровольной основе средства жителей для развития социальной инфраструктуры территории;</w:t>
      </w:r>
    </w:p>
    <w:p w:rsidR="00EF278F" w:rsidRPr="00EF278F" w:rsidRDefault="00EF278F" w:rsidP="00EF278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 xml:space="preserve">осуществлять общественный </w:t>
      </w:r>
      <w:proofErr w:type="gramStart"/>
      <w:r w:rsidRPr="00EF278F">
        <w:rPr>
          <w:color w:val="020B22"/>
          <w:sz w:val="28"/>
          <w:szCs w:val="28"/>
        </w:rPr>
        <w:t>контроль за</w:t>
      </w:r>
      <w:proofErr w:type="gramEnd"/>
      <w:r w:rsidRPr="00EF278F">
        <w:rPr>
          <w:color w:val="020B22"/>
          <w:sz w:val="28"/>
          <w:szCs w:val="28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EF278F">
        <w:rPr>
          <w:color w:val="020B22"/>
          <w:sz w:val="28"/>
          <w:szCs w:val="28"/>
        </w:rPr>
        <w:t>зарегистрированный</w:t>
      </w:r>
      <w:proofErr w:type="gramEnd"/>
      <w:r w:rsidRPr="00EF278F">
        <w:rPr>
          <w:color w:val="020B22"/>
          <w:sz w:val="28"/>
          <w:szCs w:val="28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EF278F">
        <w:rPr>
          <w:color w:val="020B22"/>
          <w:sz w:val="28"/>
          <w:szCs w:val="28"/>
        </w:rPr>
        <w:t>Зарегистрированный</w:t>
      </w:r>
      <w:proofErr w:type="gramEnd"/>
      <w:r w:rsidRPr="00EF278F">
        <w:rPr>
          <w:color w:val="020B22"/>
          <w:sz w:val="28"/>
          <w:szCs w:val="28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EF278F" w:rsidRPr="00EF278F" w:rsidRDefault="00EF278F" w:rsidP="00EF278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EF278F">
        <w:rPr>
          <w:color w:val="020B22"/>
          <w:sz w:val="28"/>
          <w:szCs w:val="28"/>
        </w:rPr>
        <w:lastRenderedPageBreak/>
        <w:t>Органы местного самоуправления имеют право передать зарегистрированным органам ТОС для осуществления отдельные муниципальные полномочия.</w:t>
      </w:r>
    </w:p>
    <w:p w:rsidR="00537CD0" w:rsidRPr="00EF278F" w:rsidRDefault="00537CD0" w:rsidP="00EF27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7CD0" w:rsidRPr="00EF278F" w:rsidSect="00EF278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F43"/>
    <w:multiLevelType w:val="multilevel"/>
    <w:tmpl w:val="454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516D0"/>
    <w:multiLevelType w:val="multilevel"/>
    <w:tmpl w:val="A42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78F"/>
    <w:rsid w:val="00537CD0"/>
    <w:rsid w:val="00E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2019-11-24T05:53:00Z</dcterms:created>
  <dcterms:modified xsi:type="dcterms:W3CDTF">2019-11-24T05:56:00Z</dcterms:modified>
</cp:coreProperties>
</file>