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5" w:type="dxa"/>
        <w:tblInd w:w="78" w:type="dxa"/>
        <w:tblLook w:val="04A0"/>
      </w:tblPr>
      <w:tblGrid>
        <w:gridCol w:w="1006"/>
        <w:gridCol w:w="532"/>
        <w:gridCol w:w="825"/>
        <w:gridCol w:w="825"/>
        <w:gridCol w:w="913"/>
        <w:gridCol w:w="913"/>
        <w:gridCol w:w="913"/>
        <w:gridCol w:w="825"/>
        <w:gridCol w:w="696"/>
        <w:gridCol w:w="696"/>
        <w:gridCol w:w="746"/>
        <w:gridCol w:w="768"/>
        <w:gridCol w:w="677"/>
        <w:gridCol w:w="756"/>
        <w:gridCol w:w="658"/>
        <w:gridCol w:w="891"/>
        <w:gridCol w:w="768"/>
        <w:gridCol w:w="769"/>
        <w:gridCol w:w="744"/>
        <w:gridCol w:w="776"/>
        <w:gridCol w:w="693"/>
        <w:gridCol w:w="609"/>
        <w:gridCol w:w="677"/>
        <w:gridCol w:w="768"/>
        <w:gridCol w:w="750"/>
        <w:gridCol w:w="900"/>
        <w:gridCol w:w="816"/>
        <w:gridCol w:w="774"/>
      </w:tblGrid>
      <w:tr w:rsidR="001E7F85" w:rsidRPr="001E7F85" w:rsidTr="001E7F85">
        <w:trPr>
          <w:trHeight w:val="31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39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4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43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Цимлянского района от   28.11.2014г. №185      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36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1050"/>
        </w:trPr>
        <w:tc>
          <w:tcPr>
            <w:tcW w:w="38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для </w:t>
            </w:r>
            <w:proofErr w:type="spellStart"/>
            <w:r w:rsidRPr="001E7F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E7F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на 2014 год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255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1E7F85" w:rsidRPr="001E7F85" w:rsidTr="001E7F85">
        <w:trPr>
          <w:trHeight w:val="3720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3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Реализация проекта «Всеобуч по плаванию»  (министерство общего и профессионального образования области)</w:t>
            </w:r>
          </w:p>
        </w:tc>
        <w:tc>
          <w:tcPr>
            <w:tcW w:w="3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Организация и проведение комплекса мероприятий</w:t>
            </w:r>
            <w:proofErr w:type="gramStart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направленных на поддержание и улучшение системы обеспечения пожарной безопасности муни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ципальных образовательных учреждений (министерство общего и профессионального образования области)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(министерство общего и профессионального образования области)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Оплата услуг доступа к сети Интернет муниципальных общеобразовательных учреждений (министерство общего и профессионального образования области)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  <w:proofErr w:type="gramStart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( </w:t>
            </w:r>
            <w:proofErr w:type="spellStart"/>
            <w:proofErr w:type="gramEnd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минстерство</w:t>
            </w:r>
            <w:proofErr w:type="spellEnd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общего и профессионального образования)</w:t>
            </w:r>
          </w:p>
        </w:tc>
        <w:tc>
          <w:tcPr>
            <w:tcW w:w="3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 xml:space="preserve">Приобретение модульного детского сада </w:t>
            </w:r>
            <w:proofErr w:type="gramStart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министерство общего и профессионального образования)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Приобретение автотранспорта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br/>
              <w:t xml:space="preserve">для муниципальных учреждений культуры </w:t>
            </w:r>
            <w:proofErr w:type="gramStart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министерство культуры области)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Приобретение музыкальных инструментов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br/>
              <w:t>для муниципальных детских школ искусств  (министерство культуры обл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асти)</w:t>
            </w:r>
          </w:p>
        </w:tc>
        <w:tc>
          <w:tcPr>
            <w:tcW w:w="3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Капитальный ремонт учреждений здравоохранения (министерство здравоохранения области)</w:t>
            </w:r>
          </w:p>
        </w:tc>
        <w:tc>
          <w:tcPr>
            <w:tcW w:w="3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Обеспечение жильем молодых семей  (министерство строительства, архитектуры и территориального развития области)</w:t>
            </w:r>
          </w:p>
        </w:tc>
        <w:tc>
          <w:tcPr>
            <w:tcW w:w="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Разработка проектно-сметной документации на строительство и реконструкцию объектов размещения 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твердых бытовых отходов  (министерство жилищно-коммунального хозяйства)</w:t>
            </w:r>
          </w:p>
        </w:tc>
        <w:tc>
          <w:tcPr>
            <w:tcW w:w="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Разработка проектно-сметной документации на капитальный ремонт гидротехнических сооружений, находящихся в муниципальной собс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твенности, и бесхозных гидротехнических сооружений  (комитет по охране окружающей среды и природных ресурсов  области)</w:t>
            </w:r>
          </w:p>
        </w:tc>
        <w:tc>
          <w:tcPr>
            <w:tcW w:w="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Организация отдыха детей в каникулярное время (министерство труда и социального развития области)</w:t>
            </w:r>
          </w:p>
        </w:tc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(департамент 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 xml:space="preserve">инвестиций и предпринимательства области) </w:t>
            </w:r>
          </w:p>
        </w:tc>
        <w:tc>
          <w:tcPr>
            <w:tcW w:w="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Строительство, реконструкция спортивных объектов  (министерство строительства, архитектуры и территориального развития обла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сти)</w:t>
            </w:r>
          </w:p>
        </w:tc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Разработка проектно-сметной документации на строительство и капитальный ремонт объектов водопроводно-канализационного хозя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йства (министерство жилищно-коммунального хозяйства области)</w:t>
            </w:r>
          </w:p>
        </w:tc>
        <w:tc>
          <w:tcPr>
            <w:tcW w:w="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 xml:space="preserve">Капитальный ремонт многоквартирных домов, разработка и (или) изготовление проектно-сметной документации, проведение 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энергетических обследований многоквартирных домов (министерство жилищно-коммунального хозяйства области)</w:t>
            </w:r>
          </w:p>
        </w:tc>
        <w:tc>
          <w:tcPr>
            <w:tcW w:w="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 xml:space="preserve">Строительство  и реконструкция внутригородских, </w:t>
            </w:r>
            <w:proofErr w:type="spellStart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дорог и тротуаров (министерство транспорта области)</w:t>
            </w:r>
          </w:p>
        </w:tc>
        <w:tc>
          <w:tcPr>
            <w:tcW w:w="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 (министерство трансп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орта области)</w:t>
            </w:r>
          </w:p>
        </w:tc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Организация работы с молодежью  (комитет по молодежной политике области)</w:t>
            </w:r>
          </w:p>
        </w:tc>
        <w:tc>
          <w:tcPr>
            <w:tcW w:w="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gramStart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Возмещение предприятиям жилищно-коммунального комплекса части платы за коммунальные услуги (министер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ство жилищно-коммунального хозяйства области</w:t>
            </w:r>
            <w:proofErr w:type="gramEnd"/>
          </w:p>
        </w:tc>
        <w:tc>
          <w:tcPr>
            <w:tcW w:w="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Строительство и реконструкция объектов образования (министерство строительства, архитектуры и территориального развития обла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сти)</w:t>
            </w:r>
          </w:p>
        </w:tc>
        <w:tc>
          <w:tcPr>
            <w:tcW w:w="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Создание условий в образовательных учреждениях для обучения детей- инвалидов в рамках государственной программы Российск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ой Федерации " Доступная среда"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  <w:tc>
          <w:tcPr>
            <w:tcW w:w="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расходов на повышение заработной платы  работников  учреждений культуры (главный распорядитель средств обла</w:t>
            </w:r>
            <w:r w:rsidRPr="001E7F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стного бюджета - министерство культуры)</w:t>
            </w:r>
          </w:p>
        </w:tc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1E7F85">
              <w:rPr>
                <w:rFonts w:ascii="Arial CYR" w:eastAsia="Times New Roman" w:hAnsi="Arial CYR" w:cs="Arial CYR"/>
                <w:lang w:eastAsia="ru-RU"/>
              </w:rPr>
              <w:lastRenderedPageBreak/>
              <w:t>Софинансирование</w:t>
            </w:r>
            <w:proofErr w:type="spellEnd"/>
            <w:r w:rsidRPr="001E7F85">
              <w:rPr>
                <w:rFonts w:ascii="Arial CYR" w:eastAsia="Times New Roman" w:hAnsi="Arial CYR" w:cs="Arial CYR"/>
                <w:lang w:eastAsia="ru-RU"/>
              </w:rPr>
              <w:t xml:space="preserve"> расходов на повышение заработной платы педагогических  учреждений дополнительного образования (главный распорядитель </w:t>
            </w:r>
            <w:r w:rsidRPr="001E7F85">
              <w:rPr>
                <w:rFonts w:ascii="Arial CYR" w:eastAsia="Times New Roman" w:hAnsi="Arial CYR" w:cs="Arial CYR"/>
                <w:lang w:eastAsia="ru-RU"/>
              </w:rPr>
              <w:lastRenderedPageBreak/>
              <w:t>средств областного бюджета - министерство общего и профессионального образования области)</w:t>
            </w:r>
          </w:p>
        </w:tc>
      </w:tr>
      <w:tr w:rsidR="001E7F85" w:rsidRPr="001E7F85" w:rsidTr="001E7F85">
        <w:trPr>
          <w:trHeight w:val="172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1E7F85" w:rsidRPr="001E7F85" w:rsidTr="001E7F85">
        <w:trPr>
          <w:trHeight w:val="79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Цимлянский район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135027,4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408,1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797,5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3062,1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662,8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2145,9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13528,5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83,0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3964,7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1368,7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2153,6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5570,1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20339,4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144,3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61877,1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2092,3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1302,0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949,4</w:t>
            </w:r>
          </w:p>
        </w:tc>
      </w:tr>
      <w:tr w:rsidR="001E7F85" w:rsidRPr="001E7F85" w:rsidTr="001E7F85">
        <w:trPr>
          <w:trHeight w:val="7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10910,2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10084,0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505,0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1E7F85" w:rsidRPr="001E7F85" w:rsidTr="001E7F85">
        <w:trPr>
          <w:trHeight w:val="7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Красноярское сельское </w:t>
            </w: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поселение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1105,2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587,5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1E7F85" w:rsidRPr="001E7F85" w:rsidTr="001E7F85">
        <w:trPr>
          <w:trHeight w:val="7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Лозновское сельское поселение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954,0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1E7F85" w:rsidRPr="001E7F85" w:rsidTr="001E7F85">
        <w:trPr>
          <w:trHeight w:val="7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1174,7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853,3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1E7F85" w:rsidRPr="001E7F85" w:rsidTr="001E7F85">
        <w:trPr>
          <w:trHeight w:val="7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Новоцимлянское сельское поселение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752,0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445,8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1E7F85" w:rsidRPr="001E7F85" w:rsidTr="001E7F85">
        <w:trPr>
          <w:trHeight w:val="7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Саркеловское сельское поселение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910,0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587,0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1E7F85" w:rsidRPr="001E7F85" w:rsidTr="001E7F85">
        <w:trPr>
          <w:trHeight w:val="73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11934,5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9026,6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858,1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1669,7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177,6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202,5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1E7F85" w:rsidRPr="001E7F85" w:rsidTr="001E7F85">
        <w:trPr>
          <w:trHeight w:val="7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Итого по поселениям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27740,6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9026,6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858,1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10084,0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3669,7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285,1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3817,1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E7F85" w:rsidRPr="001E7F85" w:rsidTr="001E7F85">
        <w:trPr>
          <w:trHeight w:val="108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Всего консолидированный бюджет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162768,0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408,1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797,5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3062,1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662,8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2145,9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13528,5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83,0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3964,7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1368,7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2153,6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5570,1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20339,4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9026,6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858,1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10084,0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7469,7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144,3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285,1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61877,1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2092,3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5119,1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1E7F8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949,4</w:t>
            </w:r>
          </w:p>
        </w:tc>
      </w:tr>
      <w:tr w:rsidR="001E7F85" w:rsidRPr="001E7F85" w:rsidTr="001E7F85">
        <w:trPr>
          <w:trHeight w:val="31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31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31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F85" w:rsidRPr="001E7F85" w:rsidTr="001E7F85">
        <w:trPr>
          <w:trHeight w:val="58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</w:t>
            </w:r>
            <w:proofErr w:type="spellStart"/>
            <w:r w:rsidRPr="001E7F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1E7F85" w:rsidRPr="001E7F85" w:rsidTr="001E7F85">
        <w:trPr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F85" w:rsidRPr="001E7F85" w:rsidRDefault="001E7F85" w:rsidP="001E7F8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C02D7" w:rsidRDefault="007C02D7"/>
    <w:sectPr w:rsidR="007C02D7" w:rsidSect="001E7F85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7F85"/>
    <w:rsid w:val="001E7F85"/>
    <w:rsid w:val="007C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881</Words>
  <Characters>5024</Characters>
  <Application>Microsoft Office Word</Application>
  <DocSecurity>0</DocSecurity>
  <Lines>41</Lines>
  <Paragraphs>11</Paragraphs>
  <ScaleCrop>false</ScaleCrop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2014-12-30T10:47:00Z</dcterms:created>
  <dcterms:modified xsi:type="dcterms:W3CDTF">2014-12-30T10:47:00Z</dcterms:modified>
</cp:coreProperties>
</file>