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3DC5" w:rsidRDefault="006E3DC5" w:rsidP="006E3DC5">
      <w:pPr>
        <w:shd w:val="clear" w:color="auto" w:fill="FFFFFF"/>
        <w:spacing w:after="240" w:line="270" w:lineRule="atLeast"/>
        <w:jc w:val="both"/>
        <w:rPr>
          <w:rFonts w:ascii="Calibri-Bold" w:hAnsi="Calibri-Bold"/>
          <w:b/>
          <w:bCs/>
          <w:caps/>
          <w:color w:val="000000" w:themeColor="text1"/>
          <w:kern w:val="36"/>
          <w:sz w:val="24"/>
          <w:szCs w:val="24"/>
        </w:rPr>
      </w:pPr>
      <w:r>
        <w:rPr>
          <w:rFonts w:ascii="Segoe UI" w:hAnsi="Segoe UI" w:cs="Segoe UI"/>
          <w:b/>
          <w:noProof/>
          <w:sz w:val="32"/>
          <w:szCs w:val="32"/>
          <w:lang w:eastAsia="ru-RU"/>
        </w:rPr>
        <w:drawing>
          <wp:inline distT="0" distB="0" distL="0" distR="0" wp14:anchorId="2A9A021E" wp14:editId="7150046C">
            <wp:extent cx="1712060" cy="708660"/>
            <wp:effectExtent l="0" t="0" r="254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6284" cy="7104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A44A2" w:rsidRDefault="003A44A2" w:rsidP="006E3DC5">
      <w:pPr>
        <w:shd w:val="clear" w:color="auto" w:fill="FFFFFF"/>
        <w:spacing w:after="240" w:line="270" w:lineRule="atLeast"/>
        <w:jc w:val="both"/>
        <w:rPr>
          <w:rFonts w:ascii="Calibri-Bold" w:hAnsi="Calibri-Bold"/>
          <w:b/>
          <w:bCs/>
          <w:caps/>
          <w:color w:val="000000" w:themeColor="text1"/>
          <w:kern w:val="36"/>
          <w:sz w:val="24"/>
          <w:szCs w:val="24"/>
        </w:rPr>
      </w:pPr>
      <w:r>
        <w:rPr>
          <w:rFonts w:ascii="Calibri-Bold" w:hAnsi="Calibri-Bold"/>
          <w:b/>
          <w:bCs/>
          <w:caps/>
          <w:color w:val="000000" w:themeColor="text1"/>
          <w:kern w:val="36"/>
          <w:sz w:val="24"/>
          <w:szCs w:val="24"/>
        </w:rPr>
        <w:t xml:space="preserve"> </w:t>
      </w:r>
      <w:bookmarkStart w:id="0" w:name="_GoBack"/>
      <w:bookmarkEnd w:id="0"/>
    </w:p>
    <w:p w:rsidR="006E3DC5" w:rsidRPr="003A44A2" w:rsidRDefault="003A44A2" w:rsidP="006E3DC5">
      <w:pPr>
        <w:shd w:val="clear" w:color="auto" w:fill="FFFFFF"/>
        <w:spacing w:after="240" w:line="270" w:lineRule="atLeast"/>
        <w:jc w:val="both"/>
        <w:rPr>
          <w:rFonts w:ascii="Calibri-Bold" w:hAnsi="Calibri-Bold"/>
          <w:bCs/>
          <w:caps/>
          <w:color w:val="000000" w:themeColor="text1"/>
          <w:kern w:val="36"/>
          <w:sz w:val="24"/>
          <w:szCs w:val="24"/>
        </w:rPr>
      </w:pPr>
      <w:r w:rsidRPr="003A44A2">
        <w:rPr>
          <w:rFonts w:ascii="Calibri-Bold" w:hAnsi="Calibri-Bold"/>
          <w:bCs/>
          <w:caps/>
          <w:color w:val="000000" w:themeColor="text1"/>
          <w:kern w:val="36"/>
          <w:sz w:val="24"/>
          <w:szCs w:val="24"/>
        </w:rPr>
        <w:t>25.01.2017</w:t>
      </w:r>
    </w:p>
    <w:p w:rsidR="006E3DC5" w:rsidRDefault="006E3DC5" w:rsidP="006E3DC5">
      <w:pPr>
        <w:shd w:val="clear" w:color="auto" w:fill="FFFFFF"/>
        <w:spacing w:after="240" w:line="270" w:lineRule="atLeast"/>
        <w:jc w:val="both"/>
        <w:rPr>
          <w:rFonts w:ascii="Calibri-Bold" w:hAnsi="Calibri-Bold"/>
          <w:b/>
          <w:bCs/>
          <w:caps/>
          <w:color w:val="000000" w:themeColor="text1"/>
          <w:kern w:val="36"/>
          <w:sz w:val="24"/>
          <w:szCs w:val="24"/>
        </w:rPr>
      </w:pPr>
    </w:p>
    <w:p w:rsidR="006E3DC5" w:rsidRPr="006E3DC5" w:rsidRDefault="006E3DC5" w:rsidP="006E3DC5">
      <w:pPr>
        <w:shd w:val="clear" w:color="auto" w:fill="FFFFFF"/>
        <w:spacing w:after="240" w:line="270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E3DC5">
        <w:rPr>
          <w:rFonts w:ascii="Calibri-Bold" w:hAnsi="Calibri-Bold"/>
          <w:b/>
          <w:bCs/>
          <w:caps/>
          <w:color w:val="000000" w:themeColor="text1"/>
          <w:kern w:val="36"/>
          <w:sz w:val="24"/>
          <w:szCs w:val="24"/>
        </w:rPr>
        <w:t>Росреестр напоминает собственникам о возможности запретить действия с недвижимостью без его личного участия</w:t>
      </w:r>
    </w:p>
    <w:p w:rsidR="006E3DC5" w:rsidRPr="006E3DC5" w:rsidRDefault="006E3DC5" w:rsidP="006E3DC5">
      <w:pPr>
        <w:shd w:val="clear" w:color="auto" w:fill="FFFFFF"/>
        <w:spacing w:after="240" w:line="270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E3D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Управление </w:t>
      </w:r>
      <w:proofErr w:type="spellStart"/>
      <w:r w:rsidRPr="006E3D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Росреестра</w:t>
      </w:r>
      <w:proofErr w:type="spellEnd"/>
      <w:r w:rsidRPr="006E3D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 Ростовской области напоминает, что каждый владелец недвижимого имущества может подать заявление в </w:t>
      </w:r>
      <w:proofErr w:type="spellStart"/>
      <w:r w:rsidRPr="006E3D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Росреестр</w:t>
      </w:r>
      <w:proofErr w:type="spellEnd"/>
      <w:r w:rsidRPr="006E3D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 том, что сделки с принадлежащим ему имуществом могут производиться только при его личном участии. При подаче такого заявления в Единый государственный реестр недвижимости (ЕГРН) будет внесена соответствующая запись. Такая мера, предусмотренная федеральным законом «О государственной регистрации недвижимости», направлена на защиту прав собственников недвижимости. В частности, предоставление возможности запрета сделок с имуществом без личного участия ее собственника, направлено на снижение числа мошеннических операций с недвижимостью, заключаемых посредниками, которые действуют по доверенности.</w:t>
      </w:r>
    </w:p>
    <w:p w:rsidR="006E3DC5" w:rsidRPr="006E3DC5" w:rsidRDefault="006E3DC5" w:rsidP="006E3DC5">
      <w:pPr>
        <w:shd w:val="clear" w:color="auto" w:fill="FFFFFF"/>
        <w:spacing w:after="240" w:line="270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E3D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Заявление о невозможности регистрации перехода, прекращения, ограничения права и обременения объекта недвижимости без личного участия его собственника можно подать в электронном виде в личном кабинете на сайте </w:t>
      </w:r>
      <w:proofErr w:type="spellStart"/>
      <w:r w:rsidRPr="006E3D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Росреестра</w:t>
      </w:r>
      <w:proofErr w:type="spellEnd"/>
      <w:r w:rsidRPr="006E3D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а также при личном обращении в многофункциональный центр «Мои документы».</w:t>
      </w:r>
    </w:p>
    <w:p w:rsidR="006E3DC5" w:rsidRPr="006E3DC5" w:rsidRDefault="006E3DC5" w:rsidP="006E3DC5">
      <w:pPr>
        <w:shd w:val="clear" w:color="auto" w:fill="FFFFFF"/>
        <w:spacing w:after="240" w:line="270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E3D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январе-ноябре 2017 года </w:t>
      </w:r>
      <w:proofErr w:type="spellStart"/>
      <w:r w:rsidRPr="006E3D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Росреестр</w:t>
      </w:r>
      <w:proofErr w:type="spellEnd"/>
      <w:r w:rsidRPr="006E3D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внес в ЕГРН более 200 тыс. записей о заявлениях о невозможности государственной регистрации перехода, ограничения права, обременения объекта недвижимости, прекращения права на объект недвижимости без личного участия собственника. </w:t>
      </w:r>
    </w:p>
    <w:p w:rsidR="00D43795" w:rsidRDefault="00D43795"/>
    <w:sectPr w:rsidR="00D437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-Bold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DC5"/>
    <w:rsid w:val="003A44A2"/>
    <w:rsid w:val="006E3DC5"/>
    <w:rsid w:val="00D43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95B8CA-34A6-4CD9-A915-60DE489C1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D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E3D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812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80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8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826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562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4759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697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7355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1066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118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35860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5323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Трубникова Екатерина Алексеевна</dc:creator>
  <cp:keywords/>
  <dc:description/>
  <cp:lastModifiedBy>Трубникова Екатерина Алексеевна</cp:lastModifiedBy>
  <cp:revision>1</cp:revision>
  <cp:lastPrinted>2018-01-24T14:14:00Z</cp:lastPrinted>
  <dcterms:created xsi:type="dcterms:W3CDTF">2018-01-24T14:12:00Z</dcterms:created>
  <dcterms:modified xsi:type="dcterms:W3CDTF">2018-01-24T14:24:00Z</dcterms:modified>
</cp:coreProperties>
</file>