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B9" w:rsidRPr="00957EB9" w:rsidRDefault="00957EB9" w:rsidP="00957EB9">
      <w:pPr>
        <w:spacing w:before="100" w:beforeAutospacing="1" w:after="100" w:afterAutospacing="1" w:line="240" w:lineRule="atLeast"/>
        <w:jc w:val="center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>Оформить права на квартиру в новостройке станет проще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957EB9">
        <w:rPr>
          <w:rFonts w:ascii="Segoe UI" w:hAnsi="Segoe UI" w:cs="Segoe UI"/>
          <w:b/>
          <w:sz w:val="28"/>
          <w:szCs w:val="28"/>
        </w:rPr>
        <w:t xml:space="preserve">С 1 июля 2019 года в России начинает действовать правило обязательного использования </w:t>
      </w:r>
      <w:proofErr w:type="spellStart"/>
      <w:r w:rsidRPr="00957EB9">
        <w:rPr>
          <w:rFonts w:ascii="Segoe UI" w:hAnsi="Segoe UI" w:cs="Segoe UI"/>
          <w:b/>
          <w:sz w:val="28"/>
          <w:szCs w:val="28"/>
        </w:rPr>
        <w:t>эскроу-счетов</w:t>
      </w:r>
      <w:proofErr w:type="spellEnd"/>
      <w:r w:rsidRPr="00957EB9">
        <w:rPr>
          <w:rFonts w:ascii="Segoe UI" w:hAnsi="Segoe UI" w:cs="Segoe UI"/>
          <w:b/>
          <w:sz w:val="28"/>
          <w:szCs w:val="28"/>
        </w:rPr>
        <w:t xml:space="preserve">: переход от долевого финансирования строительства к </w:t>
      </w:r>
      <w:proofErr w:type="gramStart"/>
      <w:r w:rsidRPr="00957EB9">
        <w:rPr>
          <w:rFonts w:ascii="Segoe UI" w:hAnsi="Segoe UI" w:cs="Segoe UI"/>
          <w:b/>
          <w:sz w:val="28"/>
          <w:szCs w:val="28"/>
        </w:rPr>
        <w:t>проектному</w:t>
      </w:r>
      <w:proofErr w:type="gramEnd"/>
      <w:r w:rsidRPr="00957EB9">
        <w:rPr>
          <w:rFonts w:ascii="Segoe UI" w:hAnsi="Segoe UI" w:cs="Segoe UI"/>
          <w:b/>
          <w:sz w:val="28"/>
          <w:szCs w:val="28"/>
        </w:rPr>
        <w:t xml:space="preserve"> обусловлен необходимостью минимизировать риски для всех участников рынка первичной недвижимости. По мнению экспертов Федеральной Кадастровой палаты, новая инвестиционная модель упростит гражданам задачу по оформлению собственности в новостройке.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новым правилам, покупатели квартир больше не перечисляют деньги застройщику, а хранят средства на сберегательных счетах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Застройщик ведет строительство за счет собственных средств или банковского кредита. Доступ к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эскроу-счетам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 застройщик получает только после того,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(п. 6 ст. 15. 5, Федеральный закон № 214-ФЗ). Таким образом, финансовым гарантом дольщиков выступает банк, а для застройщика создаются условия, в которых своевременная сдача объекта и проведение процедуры кадастрового учета становятся важными составляющими успешного завершения проекта. 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i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«До настоящего времени проблемы дольщиков не ограничивались серьезными финансовыми рисками. Часто, даже после получения ключей, собственники помещений многоквартирного дома не могли зарегистрировать права на квартиру. Происходило это из-за того, что необходимая для регистрации процедура кадастрового учета по той или иной причине затягивалась, а единственными лицами, заинтересованными в решении вопроса, оказывались сами собственники», - </w:t>
      </w:r>
      <w:r w:rsidRPr="00957EB9">
        <w:rPr>
          <w:rFonts w:ascii="Segoe UI" w:hAnsi="Segoe UI" w:cs="Segoe UI"/>
          <w:sz w:val="28"/>
          <w:szCs w:val="28"/>
        </w:rPr>
        <w:t xml:space="preserve">говорит </w:t>
      </w:r>
      <w:r w:rsidRPr="00957EB9">
        <w:rPr>
          <w:rFonts w:ascii="Segoe UI" w:hAnsi="Segoe UI" w:cs="Segoe UI"/>
          <w:b/>
          <w:sz w:val="28"/>
          <w:szCs w:val="28"/>
        </w:rPr>
        <w:t>эксперт Федеральной кадастровой палаты Росреестра Надежда Лещенко.</w:t>
      </w:r>
      <w:r w:rsidRPr="00957EB9">
        <w:rPr>
          <w:rFonts w:ascii="Segoe UI" w:hAnsi="Segoe UI" w:cs="Segoe UI"/>
          <w:b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Обеспечить кадастровый учет многоквартирного дома обязан орган власти, уполномоченный выдавать разрешение на ввод объекта </w:t>
      </w:r>
      <w:r w:rsidRPr="00957EB9">
        <w:rPr>
          <w:rFonts w:ascii="Segoe UI" w:hAnsi="Segoe UI" w:cs="Segoe UI"/>
          <w:sz w:val="28"/>
          <w:szCs w:val="28"/>
        </w:rPr>
        <w:lastRenderedPageBreak/>
        <w:t xml:space="preserve">в эксплуатацию. В срок не позднее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принятия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такого решения госорган должен направить в орган регистрации прав заявление о проведении кадастрового учета с приложением необходимых документов.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Далее в течение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поступления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заявления специалисты вносят в ЕГРН сведения обо всех жилых и нежилых помещениях многоквартирного дома, </w:t>
      </w:r>
      <w:proofErr w:type="spellStart"/>
      <w:r w:rsidRPr="00957EB9">
        <w:rPr>
          <w:rFonts w:ascii="Segoe UI" w:hAnsi="Segoe UI" w:cs="Segoe UI"/>
          <w:sz w:val="28"/>
          <w:szCs w:val="28"/>
        </w:rPr>
        <w:t>общедомовом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 имуществе, </w:t>
      </w:r>
      <w:proofErr w:type="spellStart"/>
      <w:r w:rsidRPr="00957EB9">
        <w:rPr>
          <w:rFonts w:ascii="Segoe UI" w:hAnsi="Segoe UI" w:cs="Segoe UI"/>
          <w:sz w:val="28"/>
          <w:szCs w:val="28"/>
        </w:rPr>
        <w:t>машино-местах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, вспомогательных помещениях. При наличии в техническом плане ошибок на их исправление отводится до трех месяцев, проведение кадастрового учета на это время приостанавливается.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Действующий закон не обязывает застройщика участвовать в постановке объекта на кадастровый учет: обязательства застройщика перед жильцами заканчивается подписанием акта приема-передачи квартиры. </w:t>
      </w:r>
      <w:r w:rsidRPr="00957EB9">
        <w:rPr>
          <w:rFonts w:ascii="Segoe UI" w:hAnsi="Segoe UI" w:cs="Segoe UI"/>
          <w:i/>
          <w:sz w:val="28"/>
          <w:szCs w:val="28"/>
        </w:rPr>
        <w:t xml:space="preserve">«Благодаря новой инвестиционной схеме застройщик разделит интересы жильцов: только проведя кадастровый учет и запустив процедуру регистрации квартир в собственность, он сможет получить от банка средства дольщиков, </w:t>
      </w:r>
      <w:r w:rsidRPr="00957EB9">
        <w:rPr>
          <w:rFonts w:ascii="Segoe UI" w:hAnsi="Segoe UI" w:cs="Segoe UI"/>
          <w:sz w:val="28"/>
          <w:szCs w:val="28"/>
        </w:rPr>
        <w:t xml:space="preserve">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</w:t>
      </w:r>
      <w:r w:rsidRPr="00957EB9">
        <w:rPr>
          <w:rFonts w:ascii="Segoe UI" w:hAnsi="Segoe UI" w:cs="Segoe UI"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Подать заявление и документы на регистрацию прав собственности можно в офисе МФЦ, на сайте Росреестра или портале </w:t>
      </w:r>
      <w:proofErr w:type="spellStart"/>
      <w:r w:rsidRPr="00957EB9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Не позднее чем через семь рабочих дней заявитель станет полноправным владельцем недвижимости. </w:t>
      </w:r>
      <w:r w:rsidRPr="00957EB9">
        <w:rPr>
          <w:rFonts w:ascii="Segoe UI" w:hAnsi="Segoe UI" w:cs="Segoe UI"/>
          <w:i/>
          <w:sz w:val="28"/>
          <w:szCs w:val="28"/>
        </w:rPr>
        <w:t>«Состав пакета документов зависит от условий приобретения недвижимости. Имеет значение, использовались ли кредит или ипотека, привлекалось ли доверенное лицо, есть ли среди владельцев квартиры несовершеннолетние,</w:t>
      </w:r>
      <w:r w:rsidRPr="00957EB9">
        <w:rPr>
          <w:rFonts w:ascii="Segoe UI" w:hAnsi="Segoe UI" w:cs="Segoe UI"/>
          <w:sz w:val="28"/>
          <w:szCs w:val="28"/>
        </w:rPr>
        <w:t xml:space="preserve"> 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– </w:t>
      </w:r>
      <w:r w:rsidRPr="00957EB9">
        <w:rPr>
          <w:rFonts w:ascii="Segoe UI" w:hAnsi="Segoe UI" w:cs="Segoe UI"/>
          <w:i/>
          <w:sz w:val="28"/>
          <w:szCs w:val="28"/>
        </w:rPr>
        <w:t>При этом обязательно надо представить договор долевого участия и акт приема-передачи».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Постановлению Правительства РФ от 22 апреля 2019 г. № 480, застройщик может привлекать средства дольщиков по старой схеме, если его проект завершен на 30% и не менее 10% общей площади жилых и нежилых помещений, включая </w:t>
      </w:r>
      <w:proofErr w:type="spellStart"/>
      <w:r w:rsidRPr="00957EB9">
        <w:rPr>
          <w:rFonts w:ascii="Segoe UI" w:hAnsi="Segoe UI" w:cs="Segoe UI"/>
          <w:sz w:val="28"/>
          <w:szCs w:val="28"/>
        </w:rPr>
        <w:t>машино-места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, будет продано без использования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эскроу-счетов</w:t>
      </w:r>
      <w:proofErr w:type="spellEnd"/>
      <w:r w:rsidRPr="00957EB9">
        <w:rPr>
          <w:rFonts w:ascii="Segoe UI" w:hAnsi="Segoe UI" w:cs="Segoe UI"/>
          <w:sz w:val="28"/>
          <w:szCs w:val="28"/>
        </w:rPr>
        <w:t>. Готовность объекта может составлять 15%, е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сли строительство ведется в рамках развития застроенной территории, комплексного освоения территории или по 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договорам с органами власти,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«В то же время закон предусматривает возможность 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заключать договоры долевого участия без использования </w:t>
      </w:r>
      <w:proofErr w:type="spell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эскроу-счетов</w:t>
      </w:r>
      <w:proofErr w:type="spell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и после 1 июля 2019 года</w:t>
      </w:r>
      <w:r w:rsidRPr="00957EB9">
        <w:rPr>
          <w:rFonts w:ascii="Segoe UI" w:hAnsi="Segoe UI" w:cs="Segoe UI"/>
          <w:i/>
          <w:sz w:val="28"/>
          <w:szCs w:val="28"/>
        </w:rPr>
        <w:t xml:space="preserve"> – для девелоперов, чьи проекты частично завершены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. Данное отступление позволит сделать переход к новой инвестиционной модели </w:t>
      </w:r>
      <w:proofErr w:type="gram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более плавным</w:t>
      </w:r>
      <w:proofErr w:type="gram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, чтобы российский строительный бизнес продолжал развиваться без потрясений», </w:t>
      </w:r>
      <w:r w:rsidRPr="00957EB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– отмечает эксперт.</w:t>
      </w:r>
      <w:r w:rsidRPr="00957EB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Если застройщик включен в перечень системообразующих российских организаций и получил разрешения на строительство многоквартирных домов общей площадью не менее 4 </w:t>
      </w:r>
      <w:proofErr w:type="gram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млн</w:t>
      </w:r>
      <w:proofErr w:type="gram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957EB9">
        <w:rPr>
          <w:rFonts w:ascii="Segoe UI" w:hAnsi="Segoe UI" w:cs="Segoe UI"/>
          <w:sz w:val="28"/>
          <w:szCs w:val="28"/>
        </w:rPr>
        <w:t>м²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на территории 4 субъектов РФ, строительная готовность объекта может составлять 6%. Такая же планка установлена для застройщиков, взявших на себя обязательства по заверш</w:t>
      </w:r>
      <w:bookmarkStart w:id="0" w:name="_GoBack"/>
      <w:bookmarkEnd w:id="0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ению долевого долгостроя вместо компаний-банкротов. Постановление также предусматривает право регионов устанавливать собственные критерии и случаи их применения, при условии предоставления финансовых гарантий завершения строительства, которое велось без использования </w:t>
      </w:r>
      <w:proofErr w:type="spell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эскроу-счетов</w:t>
      </w:r>
      <w:proofErr w:type="spell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2D0349" w:rsidRPr="002D0349" w:rsidRDefault="002D0349" w:rsidP="002D0349">
      <w:pPr>
        <w:jc w:val="both"/>
        <w:rPr>
          <w:rFonts w:ascii="Segoe UI" w:hAnsi="Segoe UI" w:cs="Segoe UI"/>
          <w:sz w:val="20"/>
        </w:rPr>
      </w:pPr>
    </w:p>
    <w:sectPr w:rsidR="002D0349" w:rsidRPr="002D0349" w:rsidSect="00C6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617EF"/>
    <w:rsid w:val="002D0349"/>
    <w:rsid w:val="007671CE"/>
    <w:rsid w:val="00957EB9"/>
    <w:rsid w:val="00C679CF"/>
    <w:rsid w:val="00CD2DA2"/>
    <w:rsid w:val="00F3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ESSosedkina</cp:lastModifiedBy>
  <cp:revision>3</cp:revision>
  <dcterms:created xsi:type="dcterms:W3CDTF">2019-06-26T14:40:00Z</dcterms:created>
  <dcterms:modified xsi:type="dcterms:W3CDTF">2019-07-01T11:09:00Z</dcterms:modified>
</cp:coreProperties>
</file>