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4536" w:leader="none"/>
          <w:tab w:val="left" w:pos="4820" w:leader="none"/>
        </w:tabs>
      </w:pPr>
      <w:r>
        <w:rPr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6740" cy="76771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86739" cy="767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2pt;height:60.4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u w:val="single"/>
        </w:rPr>
      </w:r>
      <w:r/>
    </w:p>
    <w:p>
      <w:pPr>
        <w:pStyle w:val="841"/>
        <w:jc w:val="center"/>
      </w:pPr>
      <w:r/>
      <w:r/>
    </w:p>
    <w:p>
      <w:pPr>
        <w:pStyle w:val="8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администрациЯ Цимлянского района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</w:r>
      <w:r/>
    </w:p>
    <w:p>
      <w:pPr>
        <w:pStyle w:val="8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4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41"/>
        <w:jc w:val="left"/>
        <w:rPr>
          <w:rFonts w:ascii="Times New Roman" w:hAnsi="Times New Roman" w:cs="Times New Roman"/>
          <w:b w:val="0"/>
          <w:bCs w:val="0"/>
          <w:color w:val="558e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58ed4" w:themeColor="text2" w:themeTint="9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558ed4" w:themeColor="text2" w:themeTint="99"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color w:val="558e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58ed4" w:themeColor="text2" w:themeTint="99"/>
          <w:sz w:val="28"/>
          <w:szCs w:val="28"/>
        </w:rPr>
        <w:t xml:space="preserve">редакции распоряжений Администрации Цимлянского района </w:t>
      </w:r>
      <w:r>
        <w:rPr>
          <w:rFonts w:ascii="Times New Roman" w:hAnsi="Times New Roman" w:cs="Times New Roman"/>
          <w:color w:val="558ed4" w:themeColor="text2" w:themeTint="99"/>
          <w:sz w:val="28"/>
          <w:szCs w:val="28"/>
        </w:rPr>
        <w:t xml:space="preserve">от</w:t>
      </w:r>
      <w:r>
        <w:rPr>
          <w:rFonts w:ascii="Times New Roman" w:hAnsi="Times New Roman" w:cs="Times New Roman"/>
          <w:b w:val="0"/>
          <w:bCs w:val="0"/>
          <w:color w:val="558ed4" w:themeColor="text2" w:themeTint="99"/>
          <w:sz w:val="28"/>
          <w:szCs w:val="28"/>
          <w:highlight w:val="none"/>
        </w:rPr>
        <w:t xml:space="preserve"> 17.02.2023 № 20.</w:t>
      </w:r>
      <w:r>
        <w:rPr>
          <w:rFonts w:ascii="Times New Roman" w:hAnsi="Times New Roman" w:cs="Times New Roman"/>
          <w:b w:val="0"/>
          <w:bCs w:val="0"/>
          <w:color w:val="558ed4" w:themeColor="text2" w:themeTint="99"/>
          <w:sz w:val="28"/>
          <w:szCs w:val="28"/>
          <w:highlight w:val="none"/>
        </w:rPr>
      </w:r>
    </w:p>
    <w:p>
      <w:r>
        <w:rPr>
          <w:sz w:val="28"/>
          <w:szCs w:val="28"/>
        </w:rPr>
        <w:t xml:space="preserve">16.12</w:t>
      </w:r>
      <w:r>
        <w:rPr>
          <w:sz w:val="28"/>
          <w:szCs w:val="28"/>
        </w:rPr>
        <w:t xml:space="preserve">.2022</w:t>
      </w:r>
      <w:r>
        <w:rPr>
          <w:sz w:val="28"/>
          <w:szCs w:val="28"/>
        </w:rPr>
        <w:tab/>
        <w:t xml:space="preserve">                                            № 275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г. Цимлянск</w:t>
      </w:r>
      <w:r>
        <w:rPr>
          <w:sz w:val="28"/>
          <w:szCs w:val="28"/>
        </w:rPr>
      </w:r>
      <w:r/>
    </w:p>
    <w:p>
      <w:pPr>
        <w:rPr>
          <w:color w:val="000000"/>
        </w:rPr>
      </w:pPr>
      <w:r>
        <w:rPr>
          <w:color w:val="000000"/>
          <w:spacing w:val="-2"/>
          <w:sz w:val="28"/>
          <w:szCs w:val="28"/>
        </w:rPr>
      </w:r>
      <w:r/>
    </w:p>
    <w:p>
      <w:pPr>
        <w:ind w:right="3157"/>
        <w:rPr>
          <w:color w:val="000000"/>
        </w:rPr>
      </w:pPr>
      <w:r>
        <w:rPr>
          <w:color w:val="000000"/>
          <w:spacing w:val="-2"/>
          <w:sz w:val="28"/>
          <w:szCs w:val="28"/>
        </w:rPr>
        <w:t xml:space="preserve">Об утверждении плана реализации </w:t>
      </w:r>
      <w:r>
        <w:rPr>
          <w:color w:val="000000"/>
          <w:spacing w:val="-2"/>
          <w:sz w:val="28"/>
          <w:szCs w:val="28"/>
        </w:rPr>
        <w:t xml:space="preserve">                             </w:t>
      </w:r>
      <w:r>
        <w:rPr>
          <w:color w:val="000000"/>
          <w:spacing w:val="-2"/>
          <w:sz w:val="28"/>
          <w:szCs w:val="28"/>
        </w:rPr>
        <w:t xml:space="preserve">муниципальной программы Цимлянского </w:t>
      </w:r>
      <w:r>
        <w:rPr>
          <w:color w:val="000000"/>
          <w:spacing w:val="-2"/>
          <w:sz w:val="28"/>
          <w:szCs w:val="28"/>
        </w:rPr>
        <w:t xml:space="preserve">             </w:t>
      </w:r>
      <w:r>
        <w:rPr>
          <w:color w:val="000000"/>
          <w:spacing w:val="-2"/>
          <w:sz w:val="28"/>
          <w:szCs w:val="28"/>
        </w:rPr>
        <w:t xml:space="preserve">района «</w:t>
      </w:r>
      <w:r>
        <w:rPr>
          <w:color w:val="000000"/>
          <w:sz w:val="28"/>
          <w:szCs w:val="28"/>
        </w:rPr>
        <w:t xml:space="preserve">Энергоэффективность</w:t>
      </w:r>
      <w:r>
        <w:rPr>
          <w:color w:val="000000"/>
          <w:sz w:val="28"/>
          <w:szCs w:val="28"/>
        </w:rPr>
      </w:r>
      <w:r/>
    </w:p>
    <w:p>
      <w:pPr>
        <w:ind w:right="3157"/>
        <w:rPr>
          <w:color w:val="000000"/>
        </w:rPr>
      </w:pPr>
      <w:r>
        <w:rPr>
          <w:color w:val="000000"/>
          <w:sz w:val="28"/>
          <w:szCs w:val="28"/>
        </w:rPr>
        <w:t xml:space="preserve">и развитие энергетики</w:t>
      </w:r>
      <w:r>
        <w:rPr>
          <w:color w:val="000000"/>
          <w:spacing w:val="-2"/>
          <w:sz w:val="28"/>
          <w:szCs w:val="28"/>
        </w:rPr>
        <w:t xml:space="preserve">» на 202</w:t>
      </w:r>
      <w:r>
        <w:rPr>
          <w:color w:val="000000"/>
          <w:spacing w:val="-2"/>
          <w:sz w:val="28"/>
          <w:szCs w:val="28"/>
        </w:rPr>
        <w:t xml:space="preserve">3 год</w:t>
      </w:r>
      <w:r>
        <w:rPr>
          <w:color w:val="000000"/>
          <w:spacing w:val="-2"/>
          <w:sz w:val="28"/>
          <w:szCs w:val="28"/>
        </w:rPr>
      </w:r>
      <w:r/>
    </w:p>
    <w:p>
      <w:pPr>
        <w:ind w:right="2977" w:firstLine="709"/>
        <w:rPr>
          <w:color w:val="000000"/>
        </w:rPr>
      </w:pPr>
      <w:r>
        <w:rPr>
          <w:color w:val="000000"/>
          <w:spacing w:val="-2"/>
          <w:sz w:val="28"/>
          <w:szCs w:val="28"/>
        </w:rPr>
      </w:r>
      <w:r>
        <w:rPr>
          <w:color w:val="000000"/>
          <w:spacing w:val="-2"/>
          <w:sz w:val="28"/>
          <w:szCs w:val="28"/>
        </w:rPr>
      </w:r>
      <w:r/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lang w:eastAsia="en-US"/>
        </w:rPr>
        <w:t xml:space="preserve">В соответствии с постановлением Администрации Цимлянского района от 01.03.2018 № 101 «Об утверждении Порядка разработки, реализации и </w:t>
      </w:r>
      <w:r>
        <w:rPr>
          <w:sz w:val="28"/>
          <w:szCs w:val="28"/>
          <w:lang w:eastAsia="en-US"/>
        </w:rPr>
        <w:t xml:space="preserve">оценки эффективности муниципальных программ Цимлянского района», решением Собрания депутатов Цимлянского района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 22.12.2022 № 156 «О</w:t>
      </w:r>
      <w:r>
        <w:rPr>
          <w:bCs/>
          <w:sz w:val="28"/>
          <w:szCs w:val="28"/>
        </w:rPr>
        <w:t xml:space="preserve"> бюджете Цимлянского района на 2023 год и на плановый период 2024 и 2025</w:t>
      </w:r>
      <w:r>
        <w:rPr>
          <w:bCs/>
          <w:sz w:val="28"/>
          <w:szCs w:val="28"/>
        </w:rPr>
        <w:t xml:space="preserve"> годов»</w:t>
      </w:r>
      <w:r>
        <w:t xml:space="preserve">: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  <w:lang w:eastAsia="en-US"/>
        </w:rPr>
      </w:r>
      <w:r/>
      <w:r>
        <w:rPr>
          <w:sz w:val="28"/>
          <w:szCs w:val="28"/>
          <w:highlight w:val="none"/>
        </w:rPr>
      </w:r>
    </w:p>
    <w:p>
      <w:pPr>
        <w:rPr>
          <w:color w:val="000000"/>
        </w:rPr>
        <w:outlineLvl w:val="0"/>
      </w:pPr>
      <w:r>
        <w:rPr>
          <w:color w:val="000000"/>
          <w:spacing w:val="-2"/>
          <w:sz w:val="28"/>
          <w:szCs w:val="28"/>
        </w:rPr>
      </w:r>
      <w:r>
        <w:rPr>
          <w:color w:val="000000"/>
          <w:spacing w:val="-2"/>
          <w:sz w:val="28"/>
          <w:szCs w:val="28"/>
        </w:rPr>
      </w:r>
      <w:r/>
    </w:p>
    <w:p>
      <w:pPr>
        <w:ind w:firstLine="709"/>
        <w:jc w:val="both"/>
        <w:rPr>
          <w:color w:val="000000"/>
        </w:rPr>
        <w:outlineLvl w:val="0"/>
      </w:pPr>
      <w:r>
        <w:rPr>
          <w:color w:val="000000"/>
          <w:spacing w:val="-2"/>
          <w:sz w:val="28"/>
          <w:szCs w:val="28"/>
        </w:rPr>
        <w:t xml:space="preserve">1. </w:t>
      </w:r>
      <w:r>
        <w:rPr>
          <w:color w:val="000000"/>
          <w:spacing w:val="-2"/>
          <w:sz w:val="28"/>
          <w:szCs w:val="28"/>
        </w:rPr>
        <w:t xml:space="preserve">Утвердить план реализации муниципальной программы Цимлянского района «Энергоэффективность и развитие энергетики» на 202</w:t>
      </w:r>
      <w:r>
        <w:rPr>
          <w:color w:val="000000"/>
          <w:spacing w:val="-2"/>
          <w:sz w:val="28"/>
          <w:szCs w:val="28"/>
        </w:rPr>
        <w:t xml:space="preserve">3 год, </w:t>
      </w:r>
      <w:r>
        <w:rPr>
          <w:color w:val="000000"/>
          <w:spacing w:val="-2"/>
          <w:sz w:val="28"/>
          <w:szCs w:val="28"/>
        </w:rPr>
        <w:t xml:space="preserve">согласно приложению</w:t>
      </w:r>
      <w:r>
        <w:rPr>
          <w:color w:val="000000"/>
          <w:spacing w:val="-2"/>
          <w:sz w:val="28"/>
          <w:szCs w:val="28"/>
        </w:rPr>
        <w:t xml:space="preserve">.</w:t>
      </w:r>
      <w:r>
        <w:rPr>
          <w:color w:val="000000"/>
          <w:spacing w:val="-2"/>
          <w:sz w:val="28"/>
          <w:szCs w:val="28"/>
        </w:rPr>
      </w:r>
      <w:r/>
    </w:p>
    <w:p>
      <w:pPr>
        <w:ind w:firstLine="709"/>
        <w:jc w:val="both"/>
        <w:tabs>
          <w:tab w:val="left" w:pos="709" w:leader="none"/>
        </w:tabs>
      </w:pPr>
      <w:r>
        <w:rPr>
          <w:color w:val="000000"/>
          <w:spacing w:val="-2"/>
          <w:sz w:val="28"/>
          <w:szCs w:val="28"/>
        </w:rPr>
        <w:t xml:space="preserve">2. Контроль за исполнением распоряжения возложить на </w:t>
      </w:r>
      <w:r>
        <w:rPr>
          <w:sz w:val="28"/>
          <w:szCs w:val="28"/>
        </w:rPr>
        <w:t xml:space="preserve">заместителя главы Администрации Цимлянского района по строительству, ЖКХ и архитектуре</w:t>
      </w:r>
      <w:r>
        <w:rPr>
          <w:sz w:val="28"/>
          <w:szCs w:val="28"/>
        </w:rPr>
        <w:t xml:space="preserve"> Менгеля С.В.</w:t>
      </w:r>
      <w:r>
        <w:rPr>
          <w:sz w:val="28"/>
          <w:szCs w:val="28"/>
        </w:rPr>
      </w:r>
      <w:r/>
    </w:p>
    <w:p>
      <w:pPr>
        <w:jc w:val="both"/>
        <w:rPr>
          <w:color w:val="000000"/>
        </w:rPr>
        <w:outlineLvl w:val="0"/>
      </w:pPr>
      <w:r>
        <w:rPr>
          <w:color w:val="000000"/>
          <w:spacing w:val="-2"/>
          <w:sz w:val="28"/>
          <w:szCs w:val="28"/>
        </w:rPr>
      </w:r>
      <w:r>
        <w:rPr>
          <w:color w:val="000000"/>
          <w:spacing w:val="-2"/>
          <w:sz w:val="28"/>
          <w:szCs w:val="28"/>
        </w:rPr>
      </w:r>
      <w:r/>
    </w:p>
    <w:p>
      <w:pPr>
        <w:pStyle w:val="837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</w:r>
      <w:r/>
    </w:p>
    <w:p>
      <w:pPr>
        <w:pStyle w:val="837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Глава Администрации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Цимлянского района                                                                        В.В. Светличный </w:t>
      </w:r>
      <w:r>
        <w:rPr>
          <w:sz w:val="28"/>
          <w:szCs w:val="28"/>
        </w:rPr>
      </w:r>
      <w:r/>
    </w:p>
    <w:p>
      <w:pPr>
        <w:rPr>
          <w:color w:val="000000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rPr>
          <w:color w:val="000000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rPr>
          <w:color w:val="000000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rPr>
          <w:color w:val="000000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r>
        <w:rPr>
          <w:sz w:val="18"/>
          <w:szCs w:val="18"/>
        </w:rPr>
        <w:t xml:space="preserve">Распоряжение вносит отдел</w:t>
      </w:r>
      <w:r>
        <w:rPr>
          <w:sz w:val="18"/>
          <w:szCs w:val="18"/>
        </w:rPr>
      </w:r>
      <w:r/>
    </w:p>
    <w:p>
      <w:r>
        <w:rPr>
          <w:sz w:val="18"/>
          <w:szCs w:val="18"/>
        </w:rPr>
        <w:t xml:space="preserve">строительства и муниципального</w:t>
      </w:r>
      <w:r>
        <w:rPr>
          <w:sz w:val="18"/>
          <w:szCs w:val="18"/>
        </w:rPr>
      </w:r>
      <w:r/>
    </w:p>
    <w:p>
      <w:r>
        <w:rPr>
          <w:sz w:val="18"/>
          <w:szCs w:val="18"/>
        </w:rPr>
        <w:t xml:space="preserve">хозяйства Администрации</w:t>
      </w:r>
      <w:r>
        <w:rPr>
          <w:sz w:val="18"/>
          <w:szCs w:val="18"/>
        </w:rPr>
      </w:r>
      <w:r/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Цимлянского района                                                        </w:t>
      </w:r>
      <w:r/>
    </w:p>
    <w:p>
      <w:pPr>
        <w:rPr>
          <w:sz w:val="18"/>
          <w:szCs w:val="1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>
        <w:rPr>
          <w:sz w:val="18"/>
          <w:szCs w:val="18"/>
        </w:rPr>
        <w:t xml:space="preserve">    </w:t>
      </w:r>
      <w:r/>
    </w:p>
    <w:p>
      <w:pPr>
        <w:pStyle w:val="837"/>
        <w:ind w:firstLine="0"/>
        <w:jc w:val="right"/>
        <w:tabs>
          <w:tab w:val="left" w:pos="3780" w:leader="none"/>
          <w:tab w:val="left" w:pos="7020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</w:r>
      <w:r/>
    </w:p>
    <w:p>
      <w:pPr>
        <w:ind w:left="6663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к распоряжению</w:t>
      </w:r>
      <w:r>
        <w:rPr>
          <w:color w:val="000000"/>
          <w:sz w:val="28"/>
          <w:szCs w:val="28"/>
        </w:rPr>
      </w:r>
      <w:r/>
    </w:p>
    <w:p>
      <w:pPr>
        <w:ind w:left="6663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ind w:left="6663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Цимлянского района</w:t>
      </w:r>
      <w:r>
        <w:rPr>
          <w:color w:val="000000"/>
          <w:sz w:val="28"/>
          <w:szCs w:val="28"/>
        </w:rPr>
      </w:r>
      <w:r/>
    </w:p>
    <w:p>
      <w:pPr>
        <w:ind w:left="6663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от 16.12</w:t>
      </w:r>
      <w:r>
        <w:rPr>
          <w:color w:val="000000"/>
          <w:sz w:val="28"/>
          <w:szCs w:val="28"/>
        </w:rPr>
        <w:t xml:space="preserve">.2022 № 275</w:t>
      </w:r>
      <w:r>
        <w:rPr>
          <w:color w:val="000000"/>
          <w:sz w:val="28"/>
          <w:szCs w:val="28"/>
        </w:rPr>
      </w:r>
      <w:r/>
    </w:p>
    <w:p>
      <w:pPr>
        <w:jc w:val="center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widowControl w:val="off"/>
      </w:pPr>
      <w:r>
        <w:rPr>
          <w:sz w:val="28"/>
          <w:szCs w:val="28"/>
        </w:rPr>
        <w:t xml:space="preserve">ПЛАН РЕАЛИЗАЦИИ</w:t>
      </w:r>
      <w:r>
        <w:rPr>
          <w:sz w:val="28"/>
          <w:szCs w:val="28"/>
        </w:rPr>
      </w:r>
      <w:r/>
    </w:p>
    <w:p>
      <w:pPr>
        <w:jc w:val="center"/>
        <w:widowControl w:val="off"/>
      </w:pPr>
      <w:r>
        <w:rPr>
          <w:sz w:val="28"/>
          <w:szCs w:val="28"/>
        </w:rPr>
        <w:t xml:space="preserve">муниципальной программы «</w:t>
      </w:r>
      <w:r>
        <w:rPr>
          <w:color w:val="000000"/>
          <w:sz w:val="28"/>
          <w:szCs w:val="28"/>
        </w:rPr>
        <w:t xml:space="preserve">Энергоэффективность и развитие энергетики</w:t>
      </w:r>
      <w:r>
        <w:rPr>
          <w:sz w:val="28"/>
          <w:szCs w:val="28"/>
        </w:rPr>
        <w:t xml:space="preserve">» на 202</w:t>
      </w:r>
      <w:r>
        <w:rPr>
          <w:sz w:val="28"/>
          <w:szCs w:val="28"/>
        </w:rPr>
        <w:t xml:space="preserve">3 год</w:t>
      </w:r>
      <w:r>
        <w:rPr>
          <w:sz w:val="28"/>
          <w:szCs w:val="28"/>
        </w:rPr>
      </w:r>
      <w:r/>
    </w:p>
    <w:p>
      <w:pPr>
        <w:jc w:val="center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15701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4"/>
        <w:gridCol w:w="3389"/>
        <w:gridCol w:w="3685"/>
        <w:gridCol w:w="2835"/>
        <w:gridCol w:w="1153"/>
        <w:gridCol w:w="702"/>
        <w:gridCol w:w="856"/>
        <w:gridCol w:w="836"/>
        <w:gridCol w:w="694"/>
        <w:gridCol w:w="97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0" w:name="Par1127"/>
            <w:r>
              <w:rPr>
                <w:sz w:val="20"/>
                <w:szCs w:val="20"/>
              </w:rPr>
            </w:r>
            <w:bookmarkEnd w:id="0"/>
            <w:r>
              <w:rPr>
                <w:sz w:val="20"/>
                <w:szCs w:val="20"/>
              </w:rPr>
              <w:t xml:space="preserve">№ п/п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исполнитель, соисполнитель, участник  (должность/ ФИО)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Ожидаемый результат (краткое описание)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53" w:type="dxa"/>
            <w:vMerge w:val="restart"/>
            <w:textDirection w:val="lrTb"/>
            <w:noWrap w:val="false"/>
          </w:tcPr>
          <w:p>
            <w:pPr>
              <w:ind w:left="-7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Плановый </w:t>
            </w:r>
            <w:r>
              <w:rPr>
                <w:sz w:val="20"/>
                <w:szCs w:val="20"/>
              </w:rPr>
              <w:br/>
              <w:t xml:space="preserve">срок    </w:t>
            </w:r>
            <w:r>
              <w:rPr>
                <w:sz w:val="20"/>
                <w:szCs w:val="20"/>
              </w:rPr>
              <w:br/>
              <w:t xml:space="preserve">реализации </w:t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расходов, (тыс. рублей) 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hanging="7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</w:t>
            </w:r>
            <w:r>
              <w:rPr>
                <w:sz w:val="20"/>
                <w:szCs w:val="20"/>
              </w:rPr>
              <w:br/>
              <w:t xml:space="preserve">бюджет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</w:t>
            </w:r>
            <w:r>
              <w:rPr>
                <w:sz w:val="20"/>
                <w:szCs w:val="20"/>
              </w:rPr>
              <w:br/>
              <w:t xml:space="preserve">источники</w:t>
            </w:r>
            <w:r>
              <w:rPr>
                <w:sz w:val="20"/>
                <w:szCs w:val="20"/>
              </w:rPr>
            </w:r>
          </w:p>
        </w:tc>
      </w:tr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1. 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«Энергосбережение и повышение энергетической эффективности»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лавы Администрации Цимлянского района по ст</w:t>
            </w:r>
            <w:r>
              <w:rPr>
                <w:sz w:val="20"/>
                <w:szCs w:val="20"/>
              </w:rPr>
              <w:t xml:space="preserve">роительству, ЖКХ и архитектуре Менгель С.В.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заведующий отделом культуры Администрации Цимлянского района </w:t>
            </w:r>
            <w:r>
              <w:rPr>
                <w:sz w:val="20"/>
                <w:szCs w:val="20"/>
                <w:lang w:eastAsia="ru-RU"/>
              </w:rPr>
              <w:t xml:space="preserve">Тимохина Н.Ю</w:t>
            </w:r>
            <w:r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заведующий отделом образования Администрации Цимлянского района Антипов И.В.</w:t>
            </w: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1.1. </w:t>
            </w:r>
            <w:r>
              <w:rPr>
                <w:color w:val="000000"/>
                <w:sz w:val="20"/>
                <w:szCs w:val="20"/>
              </w:rPr>
              <w:t xml:space="preserve"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</w:t>
            </w:r>
            <w:r>
              <w:rPr>
                <w:color w:val="000000"/>
                <w:sz w:val="20"/>
                <w:szCs w:val="20"/>
              </w:rPr>
              <w:t xml:space="preserve">установке/замене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лавы Администрации Цимлянского района по ст</w:t>
            </w:r>
            <w:r>
              <w:rPr>
                <w:sz w:val="20"/>
                <w:szCs w:val="20"/>
              </w:rPr>
              <w:t xml:space="preserve">роительству, ЖКХ и архитектуре Менгель С.В.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заведующий отделом культуры Администрации Цимлянского района </w:t>
            </w:r>
            <w:r>
              <w:rPr>
                <w:sz w:val="20"/>
                <w:szCs w:val="20"/>
                <w:lang w:eastAsia="ru-RU"/>
              </w:rPr>
              <w:t xml:space="preserve">Тимохина Н.Ю</w:t>
            </w:r>
            <w:r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заведующий отделом образования Администрации Цимлянского района Антипов И.В.</w:t>
            </w: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расчетов бюджетных учреждений за потребляемые объемы энергетических ресурсов по приборам учета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30.12.2023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1.2. </w:t>
            </w:r>
            <w:r>
              <w:rPr>
                <w:color w:val="000000"/>
                <w:sz w:val="20"/>
                <w:szCs w:val="20"/>
              </w:rPr>
              <w:t xml:space="preserve">Приобретение энергосберегающего оборудования и материалов для бюджетных учреждений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лавы Администрации Цимлянского района по ст</w:t>
            </w:r>
            <w:r>
              <w:rPr>
                <w:sz w:val="20"/>
                <w:szCs w:val="20"/>
              </w:rPr>
              <w:t xml:space="preserve">роительству, ЖКХ и архитектуре Менгель С.В.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заведующий отделом культуры Администрации Цимлянского района </w:t>
            </w:r>
            <w:r>
              <w:rPr>
                <w:sz w:val="20"/>
                <w:szCs w:val="20"/>
                <w:lang w:eastAsia="ru-RU"/>
              </w:rPr>
              <w:t xml:space="preserve">Тимохина Н.Ю</w:t>
            </w:r>
            <w:r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заведующий отделом образования Администрации Цимлянского района Антипов И.В.</w:t>
            </w: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энергетической эффективности бюджетных учреждений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30.12.202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2. 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«Развитие и модернизация электрических сетей, включая сети уличного освещения»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лавы Администрации Цимлянского района по ст</w:t>
            </w:r>
            <w:r>
              <w:rPr>
                <w:sz w:val="20"/>
                <w:szCs w:val="20"/>
              </w:rPr>
              <w:t xml:space="preserve">роительству, ЖКХ и архитектуре Менгель С.В.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заведующий отделом культуры Администрации Цимлянского района </w:t>
            </w:r>
            <w:r>
              <w:rPr>
                <w:sz w:val="20"/>
                <w:szCs w:val="20"/>
                <w:lang w:eastAsia="ru-RU"/>
              </w:rPr>
              <w:t xml:space="preserve">Тимохина Н.Ю</w:t>
            </w:r>
            <w:r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заведующий отделом образования Администрации Цимлянского района Антипов И.В.</w:t>
            </w: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2.1. </w:t>
            </w:r>
            <w:r>
              <w:rPr>
                <w:color w:val="000000"/>
                <w:sz w:val="20"/>
                <w:szCs w:val="20"/>
              </w:rPr>
              <w:t xml:space="preserve">Разработка проектно-сметной документации на реконструкцию объектов электрических сетей, реконструкция объектов электрических сетей, приобретение </w:t>
            </w:r>
            <w:r>
              <w:rPr>
                <w:color w:val="000000"/>
                <w:sz w:val="20"/>
                <w:szCs w:val="20"/>
              </w:rPr>
              <w:br/>
              <w:t xml:space="preserve">оборудования и материалов для развития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</w:rPr>
              <w:t xml:space="preserve">и восстановления объектов электрических сетей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лавы Администрации Цимлянского района по ст</w:t>
            </w:r>
            <w:r>
              <w:rPr>
                <w:sz w:val="20"/>
                <w:szCs w:val="20"/>
              </w:rPr>
              <w:t xml:space="preserve">роительству, ЖКХ и архитектуре Менгель С.В.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заведующий отделом культуры Администрации Цимлянского района </w:t>
            </w:r>
            <w:r>
              <w:rPr>
                <w:sz w:val="20"/>
                <w:szCs w:val="20"/>
                <w:lang w:eastAsia="ru-RU"/>
              </w:rPr>
              <w:t xml:space="preserve">Тимохина Н.Ю</w:t>
            </w:r>
            <w:r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заведующий отделом образования Администрации Цимлянского района Антипов И.В.</w:t>
            </w: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Готовность к финансированию реконструкция электрических сетей, повышение</w:t>
            </w:r>
            <w:r>
              <w:rPr>
                <w:color w:val="000000"/>
                <w:sz w:val="20"/>
                <w:szCs w:val="20"/>
              </w:rPr>
              <w:br/>
              <w:t xml:space="preserve">надежности </w:t>
            </w:r>
            <w:r>
              <w:rPr>
                <w:color w:val="000000"/>
                <w:spacing w:val="-8"/>
                <w:sz w:val="20"/>
                <w:szCs w:val="20"/>
              </w:rPr>
              <w:t xml:space="preserve">предоставления</w:t>
            </w:r>
            <w:r>
              <w:rPr>
                <w:color w:val="000000"/>
                <w:sz w:val="20"/>
                <w:szCs w:val="20"/>
              </w:rPr>
              <w:t xml:space="preserve"> услуг электроснабжения населению Цимлянского района, сокращение сроков</w:t>
            </w:r>
            <w:r>
              <w:rPr>
                <w:color w:val="000000"/>
                <w:sz w:val="20"/>
                <w:szCs w:val="20"/>
              </w:rPr>
              <w:br/>
              <w:t xml:space="preserve">восстановления объектов электроснабжения Цимлянского района</w:t>
            </w:r>
            <w:r>
              <w:rPr>
                <w:color w:val="000000"/>
                <w:sz w:val="20"/>
                <w:szCs w:val="20"/>
              </w:rPr>
            </w:r>
            <w:bookmarkStart w:id="1" w:name="_GoBack"/>
            <w:r>
              <w:rPr>
                <w:sz w:val="20"/>
                <w:szCs w:val="20"/>
              </w:rPr>
            </w:r>
            <w:bookmarkEnd w:id="1"/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30.12.202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2.2. </w:t>
            </w:r>
            <w:r>
              <w:rPr>
                <w:color w:val="000000"/>
                <w:sz w:val="20"/>
                <w:szCs w:val="20"/>
              </w:rPr>
              <w:t xml:space="preserve">Разработка проектно-сметной документации на реконструкцию объектов электрических сетей, реконструкция объектов электрических сетей, приобретение </w:t>
            </w:r>
            <w:r>
              <w:rPr>
                <w:color w:val="000000"/>
                <w:sz w:val="20"/>
                <w:szCs w:val="20"/>
              </w:rPr>
              <w:br/>
              <w:t xml:space="preserve">оборудования и материалов для развития и восстановления объектов электрических сетей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лавы Администрации Цимлянского района по ст</w:t>
            </w:r>
            <w:r>
              <w:rPr>
                <w:sz w:val="20"/>
                <w:szCs w:val="20"/>
              </w:rPr>
              <w:t xml:space="preserve">роительству, ЖКХ и архитектуре Менгель С.В.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заведующий отделом культуры Администрации Цимлянского района </w:t>
            </w:r>
            <w:r>
              <w:rPr>
                <w:sz w:val="20"/>
                <w:szCs w:val="20"/>
                <w:lang w:eastAsia="ru-RU"/>
              </w:rPr>
              <w:t xml:space="preserve">Тимохина Н.Ю</w:t>
            </w:r>
            <w:r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заведующий отделом образования Администрации Цимлянского района Антипов И.В.</w:t>
            </w: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Готовность к финансированию строительства и реконструкции электрических сетей наружного (уличного) освещения, повышение </w:t>
            </w:r>
            <w:r>
              <w:rPr>
                <w:color w:val="000000"/>
                <w:sz w:val="20"/>
                <w:szCs w:val="20"/>
              </w:rPr>
              <w:br/>
              <w:t xml:space="preserve">уровня освещенности, сокращение сроков</w:t>
            </w:r>
            <w:r>
              <w:rPr>
                <w:color w:val="000000"/>
                <w:sz w:val="20"/>
                <w:szCs w:val="20"/>
              </w:rPr>
              <w:br/>
              <w:t xml:space="preserve">восстановления электрических сетей наружного (уличного) освещения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30.12.202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муниципальной </w:t>
            </w:r>
            <w:r>
              <w:rPr>
                <w:sz w:val="20"/>
                <w:szCs w:val="20"/>
              </w:rPr>
              <w:br/>
              <w:t xml:space="preserve">программе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2835"/>
        <w:widowControl w:val="off"/>
        <w:tabs>
          <w:tab w:val="left" w:pos="11907" w:leader="none"/>
          <w:tab w:val="left" w:pos="1204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Управляющий делами                                                                         А.В. Кулик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sectPr>
      <w:footerReference w:type="default" r:id="rId9"/>
      <w:footnotePr/>
      <w:endnotePr/>
      <w:type w:val="nextPage"/>
      <w:pgSz w:w="16838" w:h="11906" w:orient="landscape"/>
      <w:pgMar w:top="1258" w:right="1134" w:bottom="302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46"/>
    <w:uiPriority w:val="99"/>
  </w:style>
  <w:style w:type="character" w:styleId="683">
    <w:name w:val="Footer Char"/>
    <w:basedOn w:val="831"/>
    <w:link w:val="848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48"/>
    <w:uiPriority w:val="99"/>
  </w:style>
  <w:style w:type="table" w:styleId="686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sz w:val="24"/>
      <w:szCs w:val="24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ody Text Indent"/>
    <w:basedOn w:val="830"/>
    <w:link w:val="835"/>
    <w:uiPriority w:val="99"/>
    <w:pPr>
      <w:ind w:firstLine="708"/>
      <w:jc w:val="both"/>
    </w:pPr>
  </w:style>
  <w:style w:type="character" w:styleId="835" w:customStyle="1">
    <w:name w:val="Основной текст с отступом Знак"/>
    <w:link w:val="834"/>
    <w:uiPriority w:val="99"/>
    <w:semiHidden/>
    <w:rPr>
      <w:sz w:val="24"/>
      <w:szCs w:val="24"/>
    </w:rPr>
  </w:style>
  <w:style w:type="paragraph" w:styleId="836" w:customStyle="1">
    <w:name w:val="Знак Знак Знак Знак"/>
    <w:basedOn w:val="830"/>
    <w:uiPriority w:val="99"/>
    <w:pPr>
      <w:jc w:val="both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837" w:customStyle="1">
    <w:name w:val="ConsPlusNormal"/>
    <w:link w:val="840"/>
    <w:uiPriority w:val="99"/>
    <w:pPr>
      <w:ind w:firstLine="720"/>
      <w:widowControl w:val="off"/>
    </w:pPr>
    <w:rPr>
      <w:rFonts w:ascii="Arial" w:hAnsi="Arial" w:cs="Arial"/>
      <w:sz w:val="22"/>
      <w:szCs w:val="22"/>
    </w:rPr>
  </w:style>
  <w:style w:type="paragraph" w:styleId="838" w:customStyle="1">
    <w:name w:val="Знак Знак Знак Знак Знак Знак Знак Знак Знак Знак Знак Знак Знак"/>
    <w:basedOn w:val="830"/>
    <w:uiPriority w:val="99"/>
    <w:pPr>
      <w:jc w:val="both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839" w:customStyle="1">
    <w:name w:val="ConsPlusCell"/>
    <w:uiPriority w:val="99"/>
    <w:pPr>
      <w:widowControl w:val="off"/>
    </w:pPr>
    <w:rPr>
      <w:rFonts w:ascii="Calibri" w:hAnsi="Calibri" w:cs="Calibri"/>
      <w:sz w:val="22"/>
      <w:szCs w:val="22"/>
    </w:rPr>
  </w:style>
  <w:style w:type="character" w:styleId="840" w:customStyle="1">
    <w:name w:val="ConsPlusNormal Знак"/>
    <w:link w:val="837"/>
    <w:uiPriority w:val="99"/>
    <w:rPr>
      <w:rFonts w:ascii="Arial" w:hAnsi="Arial" w:cs="Arial"/>
      <w:sz w:val="22"/>
      <w:szCs w:val="22"/>
      <w:lang w:val="ru-RU" w:eastAsia="ru-RU"/>
    </w:rPr>
  </w:style>
  <w:style w:type="paragraph" w:styleId="841">
    <w:name w:val="Plain Text"/>
    <w:basedOn w:val="830"/>
    <w:link w:val="842"/>
    <w:uiPriority w:val="99"/>
    <w:rPr>
      <w:rFonts w:ascii="Courier New" w:hAnsi="Courier New" w:cs="Courier New"/>
      <w:sz w:val="20"/>
      <w:szCs w:val="20"/>
    </w:rPr>
  </w:style>
  <w:style w:type="character" w:styleId="842" w:customStyle="1">
    <w:name w:val="Текст Знак"/>
    <w:link w:val="841"/>
    <w:uiPriority w:val="99"/>
    <w:semiHidden/>
    <w:rPr>
      <w:rFonts w:ascii="Courier New" w:hAnsi="Courier New" w:cs="Courier New"/>
      <w:sz w:val="20"/>
      <w:szCs w:val="20"/>
    </w:rPr>
  </w:style>
  <w:style w:type="paragraph" w:styleId="843" w:customStyle="1">
    <w:name w:val="1"/>
    <w:basedOn w:val="830"/>
    <w:uiPriority w:val="99"/>
    <w:pPr>
      <w:spacing w:after="160" w:line="240" w:lineRule="exact"/>
    </w:pPr>
    <w:rPr>
      <w:sz w:val="20"/>
      <w:szCs w:val="20"/>
      <w:lang w:eastAsia="zh-CN"/>
    </w:rPr>
  </w:style>
  <w:style w:type="paragraph" w:styleId="844">
    <w:name w:val="Body Text"/>
    <w:basedOn w:val="830"/>
    <w:link w:val="845"/>
    <w:uiPriority w:val="99"/>
    <w:rPr>
      <w:sz w:val="28"/>
      <w:szCs w:val="28"/>
    </w:rPr>
  </w:style>
  <w:style w:type="character" w:styleId="845" w:customStyle="1">
    <w:name w:val="Основной текст Знак"/>
    <w:link w:val="844"/>
    <w:uiPriority w:val="99"/>
    <w:semiHidden/>
    <w:rPr>
      <w:sz w:val="28"/>
      <w:szCs w:val="28"/>
      <w:lang w:val="ru-RU" w:eastAsia="ru-RU"/>
    </w:rPr>
  </w:style>
  <w:style w:type="paragraph" w:styleId="846">
    <w:name w:val="Header"/>
    <w:basedOn w:val="830"/>
    <w:link w:val="847"/>
    <w:uiPriority w:val="99"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link w:val="846"/>
    <w:uiPriority w:val="99"/>
    <w:rPr>
      <w:sz w:val="24"/>
      <w:szCs w:val="24"/>
    </w:rPr>
  </w:style>
  <w:style w:type="paragraph" w:styleId="848">
    <w:name w:val="Footer"/>
    <w:basedOn w:val="830"/>
    <w:link w:val="849"/>
    <w:uiPriority w:val="99"/>
    <w:pPr>
      <w:tabs>
        <w:tab w:val="center" w:pos="4677" w:leader="none"/>
        <w:tab w:val="right" w:pos="9355" w:leader="none"/>
      </w:tabs>
    </w:pPr>
  </w:style>
  <w:style w:type="character" w:styleId="849" w:customStyle="1">
    <w:name w:val="Нижний колонтитул Знак"/>
    <w:link w:val="848"/>
    <w:uiPriority w:val="99"/>
    <w:rPr>
      <w:sz w:val="24"/>
      <w:szCs w:val="24"/>
    </w:rPr>
  </w:style>
  <w:style w:type="paragraph" w:styleId="850">
    <w:name w:val="Balloon Text"/>
    <w:basedOn w:val="830"/>
    <w:link w:val="851"/>
    <w:uiPriority w:val="99"/>
    <w:semiHidden/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link w:val="850"/>
    <w:uiPriority w:val="99"/>
    <w:rPr>
      <w:rFonts w:ascii="Tahoma" w:hAnsi="Tahoma" w:cs="Tahoma"/>
      <w:sz w:val="16"/>
      <w:szCs w:val="16"/>
    </w:rPr>
  </w:style>
  <w:style w:type="paragraph" w:styleId="1_636" w:customStyle="1">
    <w:name w:val="Текст"/>
    <w:basedOn w:val="895"/>
    <w:next w:val="1283"/>
    <w:link w:val="1284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dc:description/>
  <cp:revision>39</cp:revision>
  <dcterms:created xsi:type="dcterms:W3CDTF">2019-11-05T08:35:00Z</dcterms:created>
  <dcterms:modified xsi:type="dcterms:W3CDTF">2023-02-27T07:37:04Z</dcterms:modified>
</cp:coreProperties>
</file>